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271C7" w:rsidRDefault="0015041E">
      <w:pPr>
        <w:jc w:val="center"/>
      </w:pPr>
      <w:bookmarkStart w:id="0" w:name="_gjdgxs" w:colFirst="0" w:colLast="0"/>
      <w:bookmarkStart w:id="1" w:name="_GoBack"/>
      <w:bookmarkEnd w:id="0"/>
      <w:bookmarkEnd w:id="1"/>
      <w:r>
        <w:rPr>
          <w:noProof/>
        </w:rPr>
        <w:drawing>
          <wp:inline distT="0" distB="0" distL="0" distR="0">
            <wp:extent cx="2247900" cy="107823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078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271C7" w:rsidRDefault="0015041E">
      <w:pPr>
        <w:spacing w:before="120"/>
        <w:jc w:val="center"/>
      </w:pPr>
      <w:r>
        <w:rPr>
          <w:rFonts w:ascii="Candara" w:eastAsia="Candara" w:hAnsi="Candara" w:cs="Candara"/>
          <w:b/>
          <w:sz w:val="32"/>
          <w:szCs w:val="32"/>
        </w:rPr>
        <w:t xml:space="preserve">John Champaign Memorial Award for an </w:t>
      </w:r>
      <w:r>
        <w:rPr>
          <w:rFonts w:ascii="Candara" w:eastAsia="Candara" w:hAnsi="Candara" w:cs="Candara"/>
          <w:b/>
          <w:sz w:val="32"/>
          <w:szCs w:val="32"/>
        </w:rPr>
        <w:br/>
        <w:t>Outstanding Developmental Education Program</w:t>
      </w:r>
    </w:p>
    <w:p w:rsidR="005271C7" w:rsidRDefault="005271C7">
      <w:pPr>
        <w:widowControl w:val="0"/>
      </w:pPr>
    </w:p>
    <w:p w:rsidR="005271C7" w:rsidRDefault="005271C7"/>
    <w:p w:rsidR="005271C7" w:rsidRDefault="0015041E">
      <w:r>
        <w:rPr>
          <w:rFonts w:ascii="Candara" w:eastAsia="Candara" w:hAnsi="Candara" w:cs="Candara"/>
          <w:b/>
          <w:sz w:val="22"/>
          <w:szCs w:val="22"/>
        </w:rPr>
        <w:t>Purpose of award</w:t>
      </w:r>
    </w:p>
    <w:p w:rsidR="005271C7" w:rsidRDefault="0015041E">
      <w:r>
        <w:rPr>
          <w:rFonts w:ascii="Candara" w:eastAsia="Candara" w:hAnsi="Candara" w:cs="Candara"/>
          <w:sz w:val="18"/>
          <w:szCs w:val="18"/>
        </w:rPr>
        <w:t>This award recognizes excellence in a Developmental Education program or one of its components.</w:t>
      </w:r>
    </w:p>
    <w:p w:rsidR="005271C7" w:rsidRDefault="0015041E">
      <w:r>
        <w:rPr>
          <w:rFonts w:ascii="Candara" w:eastAsia="Candara" w:hAnsi="Candara" w:cs="Candara"/>
          <w:sz w:val="18"/>
          <w:szCs w:val="18"/>
        </w:rPr>
        <w:tab/>
      </w:r>
      <w:r>
        <w:rPr>
          <w:rFonts w:ascii="Candara" w:eastAsia="Candara" w:hAnsi="Candara" w:cs="Candara"/>
          <w:sz w:val="18"/>
          <w:szCs w:val="18"/>
        </w:rPr>
        <w:tab/>
      </w:r>
    </w:p>
    <w:p w:rsidR="005271C7" w:rsidRDefault="0015041E">
      <w:r>
        <w:rPr>
          <w:rFonts w:ascii="Candara" w:eastAsia="Candara" w:hAnsi="Candara" w:cs="Candara"/>
          <w:b/>
          <w:sz w:val="22"/>
          <w:szCs w:val="22"/>
        </w:rPr>
        <w:t>Criteria for evaluation</w:t>
      </w:r>
    </w:p>
    <w:p w:rsidR="005271C7" w:rsidRDefault="0015041E">
      <w:pPr>
        <w:numPr>
          <w:ilvl w:val="0"/>
          <w:numId w:val="1"/>
        </w:numPr>
        <w:ind w:left="700" w:hanging="360"/>
        <w:rPr>
          <w:sz w:val="18"/>
          <w:szCs w:val="18"/>
        </w:rPr>
      </w:pPr>
      <w:r>
        <w:rPr>
          <w:rFonts w:ascii="Candara" w:eastAsia="Candara" w:hAnsi="Candara" w:cs="Candara"/>
          <w:sz w:val="18"/>
          <w:szCs w:val="18"/>
        </w:rPr>
        <w:t>recognized program quality by peers and campus administrators</w:t>
      </w:r>
    </w:p>
    <w:p w:rsidR="005271C7" w:rsidRDefault="0015041E">
      <w:pPr>
        <w:numPr>
          <w:ilvl w:val="0"/>
          <w:numId w:val="1"/>
        </w:numPr>
        <w:ind w:left="700" w:hanging="360"/>
        <w:rPr>
          <w:sz w:val="18"/>
          <w:szCs w:val="18"/>
        </w:rPr>
      </w:pPr>
      <w:r>
        <w:rPr>
          <w:rFonts w:ascii="Candara" w:eastAsia="Candara" w:hAnsi="Candara" w:cs="Candara"/>
          <w:sz w:val="18"/>
          <w:szCs w:val="18"/>
        </w:rPr>
        <w:t>quality service to students</w:t>
      </w:r>
    </w:p>
    <w:p w:rsidR="005271C7" w:rsidRDefault="0015041E">
      <w:pPr>
        <w:numPr>
          <w:ilvl w:val="0"/>
          <w:numId w:val="1"/>
        </w:numPr>
        <w:ind w:left="700" w:hanging="360"/>
        <w:rPr>
          <w:sz w:val="18"/>
          <w:szCs w:val="18"/>
        </w:rPr>
      </w:pPr>
      <w:r>
        <w:rPr>
          <w:rFonts w:ascii="Candara" w:eastAsia="Candara" w:hAnsi="Candara" w:cs="Candara"/>
          <w:sz w:val="18"/>
          <w:szCs w:val="18"/>
        </w:rPr>
        <w:t>demonstrated effectiveness through achievement of objective criteria</w:t>
      </w:r>
    </w:p>
    <w:p w:rsidR="005271C7" w:rsidRDefault="005271C7"/>
    <w:p w:rsidR="005271C7" w:rsidRDefault="0015041E">
      <w:r>
        <w:rPr>
          <w:rFonts w:ascii="Candara" w:eastAsia="Candara" w:hAnsi="Candara" w:cs="Candara"/>
          <w:b/>
          <w:sz w:val="22"/>
          <w:szCs w:val="22"/>
        </w:rPr>
        <w:t>Special features</w:t>
      </w:r>
    </w:p>
    <w:p w:rsidR="005271C7" w:rsidRDefault="0015041E">
      <w:pPr>
        <w:numPr>
          <w:ilvl w:val="0"/>
          <w:numId w:val="6"/>
        </w:numPr>
        <w:ind w:left="700" w:hanging="360"/>
        <w:rPr>
          <w:sz w:val="18"/>
          <w:szCs w:val="18"/>
        </w:rPr>
      </w:pPr>
      <w:r>
        <w:rPr>
          <w:rFonts w:ascii="Candara" w:eastAsia="Candara" w:hAnsi="Candara" w:cs="Candara"/>
          <w:sz w:val="18"/>
          <w:szCs w:val="18"/>
        </w:rPr>
        <w:t>Invitation to present a session at the following year’s NADE conference to highlight the strategies it has used to promote excellence</w:t>
      </w:r>
    </w:p>
    <w:p w:rsidR="005271C7" w:rsidRDefault="0015041E">
      <w:pPr>
        <w:numPr>
          <w:ilvl w:val="0"/>
          <w:numId w:val="6"/>
        </w:numPr>
        <w:ind w:left="700" w:hanging="360"/>
        <w:rPr>
          <w:sz w:val="18"/>
          <w:szCs w:val="18"/>
        </w:rPr>
      </w:pPr>
      <w:r>
        <w:rPr>
          <w:rFonts w:ascii="Candara" w:eastAsia="Candara" w:hAnsi="Candara" w:cs="Candara"/>
          <w:sz w:val="18"/>
          <w:szCs w:val="18"/>
        </w:rPr>
        <w:t>$500 stipend</w:t>
      </w:r>
    </w:p>
    <w:p w:rsidR="005271C7" w:rsidRDefault="005271C7"/>
    <w:p w:rsidR="005271C7" w:rsidRDefault="0015041E">
      <w:r>
        <w:rPr>
          <w:rFonts w:ascii="Candara" w:eastAsia="Candara" w:hAnsi="Candara" w:cs="Candara"/>
          <w:b/>
          <w:sz w:val="22"/>
          <w:szCs w:val="22"/>
        </w:rPr>
        <w:t>Directions for application</w:t>
      </w:r>
    </w:p>
    <w:p w:rsidR="005271C7" w:rsidRDefault="0015041E">
      <w:pPr>
        <w:numPr>
          <w:ilvl w:val="0"/>
          <w:numId w:val="2"/>
        </w:numPr>
        <w:ind w:left="700" w:hanging="360"/>
        <w:rPr>
          <w:sz w:val="18"/>
          <w:szCs w:val="18"/>
        </w:rPr>
      </w:pPr>
      <w:r>
        <w:rPr>
          <w:rFonts w:ascii="Candara" w:eastAsia="Candara" w:hAnsi="Candara" w:cs="Candara"/>
          <w:sz w:val="18"/>
          <w:szCs w:val="18"/>
        </w:rPr>
        <w:t>letter of nomination (1–2 pages), which summarizes strengths and achievements of the developmental education program</w:t>
      </w:r>
    </w:p>
    <w:p w:rsidR="005271C7" w:rsidRDefault="0015041E">
      <w:pPr>
        <w:numPr>
          <w:ilvl w:val="0"/>
          <w:numId w:val="2"/>
        </w:numPr>
        <w:ind w:left="700" w:hanging="360"/>
        <w:rPr>
          <w:sz w:val="18"/>
          <w:szCs w:val="18"/>
        </w:rPr>
      </w:pPr>
      <w:r>
        <w:rPr>
          <w:rFonts w:ascii="Candara" w:eastAsia="Candara" w:hAnsi="Candara" w:cs="Candara"/>
          <w:sz w:val="18"/>
          <w:szCs w:val="18"/>
        </w:rPr>
        <w:t>description of the Developmental Education program (1–7 pages)</w:t>
      </w:r>
    </w:p>
    <w:p w:rsidR="005271C7" w:rsidRDefault="0015041E">
      <w:pPr>
        <w:numPr>
          <w:ilvl w:val="1"/>
          <w:numId w:val="3"/>
        </w:numPr>
        <w:ind w:left="1500" w:hanging="360"/>
        <w:rPr>
          <w:sz w:val="18"/>
          <w:szCs w:val="18"/>
        </w:rPr>
      </w:pPr>
      <w:r>
        <w:rPr>
          <w:rFonts w:ascii="Candara" w:eastAsia="Candara" w:hAnsi="Candara" w:cs="Candara"/>
          <w:sz w:val="18"/>
          <w:szCs w:val="18"/>
        </w:rPr>
        <w:t>mission statement</w:t>
      </w:r>
    </w:p>
    <w:p w:rsidR="005271C7" w:rsidRDefault="0015041E">
      <w:pPr>
        <w:numPr>
          <w:ilvl w:val="1"/>
          <w:numId w:val="3"/>
        </w:numPr>
        <w:ind w:left="1500" w:hanging="360"/>
        <w:rPr>
          <w:sz w:val="18"/>
          <w:szCs w:val="18"/>
        </w:rPr>
      </w:pPr>
      <w:r>
        <w:rPr>
          <w:rFonts w:ascii="Candara" w:eastAsia="Candara" w:hAnsi="Candara" w:cs="Candara"/>
          <w:sz w:val="18"/>
          <w:szCs w:val="18"/>
        </w:rPr>
        <w:t>program components</w:t>
      </w:r>
    </w:p>
    <w:p w:rsidR="005271C7" w:rsidRDefault="0015041E">
      <w:pPr>
        <w:numPr>
          <w:ilvl w:val="1"/>
          <w:numId w:val="3"/>
        </w:numPr>
        <w:ind w:left="1500" w:hanging="360"/>
        <w:rPr>
          <w:sz w:val="18"/>
          <w:szCs w:val="18"/>
        </w:rPr>
      </w:pPr>
      <w:r>
        <w:rPr>
          <w:rFonts w:ascii="Candara" w:eastAsia="Candara" w:hAnsi="Candara" w:cs="Candara"/>
          <w:sz w:val="18"/>
          <w:szCs w:val="18"/>
        </w:rPr>
        <w:t>unique program features</w:t>
      </w:r>
    </w:p>
    <w:p w:rsidR="005271C7" w:rsidRDefault="0015041E">
      <w:pPr>
        <w:numPr>
          <w:ilvl w:val="1"/>
          <w:numId w:val="3"/>
        </w:numPr>
        <w:ind w:left="1500" w:hanging="360"/>
        <w:rPr>
          <w:sz w:val="18"/>
          <w:szCs w:val="18"/>
        </w:rPr>
      </w:pPr>
      <w:r>
        <w:rPr>
          <w:rFonts w:ascii="Candara" w:eastAsia="Candara" w:hAnsi="Candara" w:cs="Candara"/>
          <w:sz w:val="18"/>
          <w:szCs w:val="18"/>
        </w:rPr>
        <w:t>instructional delivery systems</w:t>
      </w:r>
    </w:p>
    <w:p w:rsidR="005271C7" w:rsidRDefault="0015041E">
      <w:pPr>
        <w:numPr>
          <w:ilvl w:val="1"/>
          <w:numId w:val="3"/>
        </w:numPr>
        <w:ind w:left="1500" w:hanging="360"/>
        <w:rPr>
          <w:sz w:val="18"/>
          <w:szCs w:val="18"/>
        </w:rPr>
      </w:pPr>
      <w:r>
        <w:rPr>
          <w:rFonts w:ascii="Candara" w:eastAsia="Candara" w:hAnsi="Candara" w:cs="Candara"/>
          <w:sz w:val="18"/>
          <w:szCs w:val="18"/>
        </w:rPr>
        <w:t>staffing</w:t>
      </w:r>
    </w:p>
    <w:p w:rsidR="005271C7" w:rsidRDefault="0015041E">
      <w:pPr>
        <w:numPr>
          <w:ilvl w:val="1"/>
          <w:numId w:val="3"/>
        </w:numPr>
        <w:ind w:left="1500" w:hanging="360"/>
        <w:rPr>
          <w:sz w:val="18"/>
          <w:szCs w:val="18"/>
        </w:rPr>
      </w:pPr>
      <w:r>
        <w:rPr>
          <w:rFonts w:ascii="Candara" w:eastAsia="Candara" w:hAnsi="Candara" w:cs="Candara"/>
          <w:sz w:val="18"/>
          <w:szCs w:val="18"/>
        </w:rPr>
        <w:t xml:space="preserve">program evaluation criteria </w:t>
      </w:r>
    </w:p>
    <w:p w:rsidR="005271C7" w:rsidRDefault="0015041E">
      <w:pPr>
        <w:numPr>
          <w:ilvl w:val="2"/>
          <w:numId w:val="4"/>
        </w:numPr>
        <w:ind w:left="2200" w:hanging="360"/>
        <w:rPr>
          <w:sz w:val="18"/>
          <w:szCs w:val="18"/>
        </w:rPr>
      </w:pPr>
      <w:r>
        <w:rPr>
          <w:rFonts w:ascii="Candara" w:eastAsia="Candara" w:hAnsi="Candara" w:cs="Candara"/>
          <w:sz w:val="18"/>
          <w:szCs w:val="18"/>
        </w:rPr>
        <w:t>percent of student body served</w:t>
      </w:r>
    </w:p>
    <w:p w:rsidR="005271C7" w:rsidRDefault="0015041E">
      <w:pPr>
        <w:numPr>
          <w:ilvl w:val="2"/>
          <w:numId w:val="4"/>
        </w:numPr>
        <w:ind w:left="2200" w:hanging="360"/>
        <w:rPr>
          <w:sz w:val="18"/>
          <w:szCs w:val="18"/>
        </w:rPr>
      </w:pPr>
      <w:r>
        <w:rPr>
          <w:rFonts w:ascii="Candara" w:eastAsia="Candara" w:hAnsi="Candara" w:cs="Candara"/>
          <w:sz w:val="18"/>
          <w:szCs w:val="18"/>
        </w:rPr>
        <w:t xml:space="preserve">number of students served </w:t>
      </w:r>
    </w:p>
    <w:p w:rsidR="005271C7" w:rsidRDefault="0015041E">
      <w:pPr>
        <w:numPr>
          <w:ilvl w:val="2"/>
          <w:numId w:val="4"/>
        </w:numPr>
        <w:ind w:left="2200" w:hanging="360"/>
        <w:rPr>
          <w:sz w:val="18"/>
          <w:szCs w:val="18"/>
        </w:rPr>
      </w:pPr>
      <w:r>
        <w:rPr>
          <w:rFonts w:ascii="Candara" w:eastAsia="Candara" w:hAnsi="Candara" w:cs="Candara"/>
          <w:sz w:val="18"/>
          <w:szCs w:val="18"/>
        </w:rPr>
        <w:t>qualitative and/or quantitative research of program effectiveness regarding student outcomes</w:t>
      </w:r>
    </w:p>
    <w:p w:rsidR="005271C7" w:rsidRDefault="0015041E">
      <w:pPr>
        <w:numPr>
          <w:ilvl w:val="2"/>
          <w:numId w:val="4"/>
        </w:numPr>
        <w:ind w:left="2200" w:hanging="360"/>
        <w:rPr>
          <w:sz w:val="18"/>
          <w:szCs w:val="18"/>
        </w:rPr>
      </w:pPr>
      <w:r>
        <w:rPr>
          <w:rFonts w:ascii="Candara" w:eastAsia="Candara" w:hAnsi="Candara" w:cs="Candara"/>
          <w:sz w:val="18"/>
          <w:szCs w:val="18"/>
        </w:rPr>
        <w:t xml:space="preserve">partnerships with other campus or off-campus departments and agencies </w:t>
      </w:r>
    </w:p>
    <w:p w:rsidR="005271C7" w:rsidRDefault="0015041E">
      <w:pPr>
        <w:numPr>
          <w:ilvl w:val="0"/>
          <w:numId w:val="2"/>
        </w:numPr>
        <w:ind w:left="700" w:hanging="360"/>
        <w:rPr>
          <w:sz w:val="18"/>
          <w:szCs w:val="18"/>
        </w:rPr>
      </w:pPr>
      <w:r>
        <w:rPr>
          <w:rFonts w:ascii="Candara" w:eastAsia="Candara" w:hAnsi="Candara" w:cs="Candara"/>
          <w:sz w:val="18"/>
          <w:szCs w:val="18"/>
        </w:rPr>
        <w:t>letter of endorsement by state or regional NADE chapter (1 page); chapters may endorse more than one nominee from their service area</w:t>
      </w:r>
    </w:p>
    <w:p w:rsidR="005271C7" w:rsidRDefault="0015041E">
      <w:pPr>
        <w:numPr>
          <w:ilvl w:val="0"/>
          <w:numId w:val="2"/>
        </w:numPr>
        <w:ind w:left="700" w:hanging="360"/>
        <w:rPr>
          <w:sz w:val="18"/>
          <w:szCs w:val="18"/>
        </w:rPr>
      </w:pPr>
      <w:r>
        <w:rPr>
          <w:rFonts w:ascii="Candara" w:eastAsia="Candara" w:hAnsi="Candara" w:cs="Candara"/>
          <w:sz w:val="18"/>
          <w:szCs w:val="18"/>
        </w:rPr>
        <w:t>letter of support from nominee’s campus administrator (1 page)</w:t>
      </w:r>
    </w:p>
    <w:p w:rsidR="005271C7" w:rsidRDefault="0015041E">
      <w:pPr>
        <w:numPr>
          <w:ilvl w:val="0"/>
          <w:numId w:val="2"/>
        </w:numPr>
        <w:ind w:left="700" w:hanging="360"/>
        <w:rPr>
          <w:sz w:val="18"/>
          <w:szCs w:val="18"/>
        </w:rPr>
      </w:pPr>
      <w:r>
        <w:rPr>
          <w:rFonts w:ascii="Candara" w:eastAsia="Candara" w:hAnsi="Candara" w:cs="Candara"/>
          <w:sz w:val="18"/>
          <w:szCs w:val="18"/>
        </w:rPr>
        <w:t>supporting materials of the program (1–5 pages)</w:t>
      </w:r>
    </w:p>
    <w:p w:rsidR="005271C7" w:rsidRDefault="0015041E">
      <w:pPr>
        <w:numPr>
          <w:ilvl w:val="1"/>
          <w:numId w:val="5"/>
        </w:numPr>
        <w:ind w:left="1400" w:hanging="300"/>
        <w:rPr>
          <w:sz w:val="18"/>
          <w:szCs w:val="18"/>
        </w:rPr>
      </w:pPr>
      <w:r>
        <w:rPr>
          <w:rFonts w:ascii="Candara" w:eastAsia="Candara" w:hAnsi="Candara" w:cs="Candara"/>
          <w:sz w:val="18"/>
          <w:szCs w:val="18"/>
        </w:rPr>
        <w:t>campus promotional materials</w:t>
      </w:r>
    </w:p>
    <w:p w:rsidR="005271C7" w:rsidRDefault="0015041E">
      <w:pPr>
        <w:numPr>
          <w:ilvl w:val="1"/>
          <w:numId w:val="5"/>
        </w:numPr>
        <w:ind w:left="1400" w:hanging="300"/>
        <w:rPr>
          <w:sz w:val="18"/>
          <w:szCs w:val="18"/>
        </w:rPr>
      </w:pPr>
      <w:r>
        <w:rPr>
          <w:rFonts w:ascii="Candara" w:eastAsia="Candara" w:hAnsi="Candara" w:cs="Candara"/>
          <w:sz w:val="18"/>
          <w:szCs w:val="18"/>
        </w:rPr>
        <w:t>newspaper/magazine articles describing the program</w:t>
      </w:r>
    </w:p>
    <w:p w:rsidR="005271C7" w:rsidRDefault="0015041E">
      <w:pPr>
        <w:numPr>
          <w:ilvl w:val="1"/>
          <w:numId w:val="5"/>
        </w:numPr>
        <w:ind w:left="1400" w:hanging="300"/>
        <w:rPr>
          <w:sz w:val="18"/>
          <w:szCs w:val="18"/>
        </w:rPr>
      </w:pPr>
      <w:r>
        <w:rPr>
          <w:rFonts w:ascii="Candara" w:eastAsia="Candara" w:hAnsi="Candara" w:cs="Candara"/>
          <w:sz w:val="18"/>
          <w:szCs w:val="18"/>
        </w:rPr>
        <w:t>awards received by the program</w:t>
      </w:r>
    </w:p>
    <w:p w:rsidR="005271C7" w:rsidRDefault="0015041E">
      <w:pPr>
        <w:numPr>
          <w:ilvl w:val="0"/>
          <w:numId w:val="7"/>
        </w:numPr>
        <w:ind w:hanging="360"/>
        <w:rPr>
          <w:b/>
          <w:sz w:val="18"/>
          <w:szCs w:val="18"/>
        </w:rPr>
      </w:pPr>
      <w:r>
        <w:rPr>
          <w:rFonts w:ascii="Candara" w:eastAsia="Candara" w:hAnsi="Candara" w:cs="Candara"/>
          <w:sz w:val="18"/>
          <w:szCs w:val="18"/>
        </w:rPr>
        <w:t>See the Awards page on the NADE website for specific requirements for submission of application packet to the Awards Committee chair.</w:t>
      </w:r>
    </w:p>
    <w:p w:rsidR="005271C7" w:rsidRDefault="005271C7"/>
    <w:p w:rsidR="005271C7" w:rsidRDefault="0015041E">
      <w:r>
        <w:rPr>
          <w:rFonts w:ascii="Candara" w:eastAsia="Candara" w:hAnsi="Candara" w:cs="Candara"/>
          <w:b/>
          <w:sz w:val="22"/>
          <w:szCs w:val="22"/>
        </w:rPr>
        <w:t>Award honoree</w:t>
      </w:r>
    </w:p>
    <w:p w:rsidR="005271C7" w:rsidRDefault="0015041E">
      <w:r>
        <w:rPr>
          <w:rFonts w:ascii="Candara" w:eastAsia="Candara" w:hAnsi="Candara" w:cs="Candara"/>
          <w:sz w:val="18"/>
          <w:szCs w:val="18"/>
        </w:rPr>
        <w:t>John Champaign directed the Developmental Education Department at Finger Lakes Community College in Canandaigu</w:t>
      </w:r>
      <w:r w:rsidR="007B5A68">
        <w:rPr>
          <w:rFonts w:ascii="Candara" w:eastAsia="Candara" w:hAnsi="Candara" w:cs="Candara"/>
          <w:sz w:val="18"/>
          <w:szCs w:val="18"/>
        </w:rPr>
        <w:t>a</w:t>
      </w:r>
      <w:r>
        <w:rPr>
          <w:rFonts w:ascii="Candara" w:eastAsia="Candara" w:hAnsi="Candara" w:cs="Candara"/>
          <w:sz w:val="18"/>
          <w:szCs w:val="18"/>
        </w:rPr>
        <w:t>, NY. He demonstrated how effective developmental education could be with limited resources.  His program was recognized as exemplary. Champaign chaired several NADE committees and was chairperson of NADE’s Future Directions Task Force.</w:t>
      </w:r>
    </w:p>
    <w:sectPr w:rsidR="005271C7">
      <w:headerReference w:type="default" r:id="rId8"/>
      <w:pgSz w:w="12240" w:h="15840"/>
      <w:pgMar w:top="1440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21C" w:rsidRDefault="00DB521C">
      <w:r>
        <w:separator/>
      </w:r>
    </w:p>
  </w:endnote>
  <w:endnote w:type="continuationSeparator" w:id="0">
    <w:p w:rsidR="00DB521C" w:rsidRDefault="00DB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default"/>
  </w:font>
  <w:font w:name="Overlock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21C" w:rsidRDefault="00DB521C">
      <w:r>
        <w:separator/>
      </w:r>
    </w:p>
  </w:footnote>
  <w:footnote w:type="continuationSeparator" w:id="0">
    <w:p w:rsidR="00DB521C" w:rsidRDefault="00DB5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1C7" w:rsidRDefault="0015041E">
    <w:pPr>
      <w:tabs>
        <w:tab w:val="center" w:pos="4320"/>
        <w:tab w:val="right" w:pos="8640"/>
      </w:tabs>
      <w:spacing w:before="720"/>
      <w:ind w:right="-176"/>
    </w:pPr>
    <w:r>
      <w:tab/>
    </w:r>
    <w:r>
      <w:tab/>
    </w:r>
    <w:r>
      <w:tab/>
    </w:r>
    <w:r>
      <w:rPr>
        <w:sz w:val="20"/>
        <w:szCs w:val="20"/>
      </w:rP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E036C"/>
    <w:multiLevelType w:val="multilevel"/>
    <w:tmpl w:val="D60C167E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" w15:restartNumberingAfterBreak="0">
    <w:nsid w:val="108C6D97"/>
    <w:multiLevelType w:val="multilevel"/>
    <w:tmpl w:val="2F24F5A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2E924073"/>
    <w:multiLevelType w:val="multilevel"/>
    <w:tmpl w:val="66DEB440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3" w15:restartNumberingAfterBreak="0">
    <w:nsid w:val="373106B5"/>
    <w:multiLevelType w:val="multilevel"/>
    <w:tmpl w:val="EFD6AE7C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4" w15:restartNumberingAfterBreak="0">
    <w:nsid w:val="3BAB5DC2"/>
    <w:multiLevelType w:val="multilevel"/>
    <w:tmpl w:val="47F26776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➢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5" w15:restartNumberingAfterBreak="0">
    <w:nsid w:val="4CC577CA"/>
    <w:multiLevelType w:val="multilevel"/>
    <w:tmpl w:val="AD4A6E9E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➢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6" w15:restartNumberingAfterBreak="0">
    <w:nsid w:val="52803685"/>
    <w:multiLevelType w:val="multilevel"/>
    <w:tmpl w:val="796CC712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➢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❖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271C7"/>
    <w:rsid w:val="0015041E"/>
    <w:rsid w:val="005271C7"/>
    <w:rsid w:val="007B5A68"/>
    <w:rsid w:val="00D32FA0"/>
    <w:rsid w:val="00DB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0BB6A9-DE4C-4D94-A72E-0F3CD7BF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widowControl w:val="0"/>
      <w:tabs>
        <w:tab w:val="left" w:pos="1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ind w:left="720"/>
      <w:outlineLvl w:val="0"/>
    </w:pPr>
  </w:style>
  <w:style w:type="paragraph" w:styleId="Heading2">
    <w:name w:val="heading 2"/>
    <w:basedOn w:val="Normal"/>
    <w:next w:val="Normal"/>
    <w:pPr>
      <w:keepNext/>
      <w:keepLines/>
      <w:widowControl w:val="0"/>
      <w:ind w:left="1440"/>
      <w:outlineLvl w:val="1"/>
    </w:pPr>
    <w:rPr>
      <w:rFonts w:ascii="Times" w:eastAsia="Times" w:hAnsi="Times" w:cs="Times"/>
      <w:b/>
    </w:rPr>
  </w:style>
  <w:style w:type="paragraph" w:styleId="Heading3">
    <w:name w:val="heading 3"/>
    <w:basedOn w:val="Normal"/>
    <w:next w:val="Normal"/>
    <w:pPr>
      <w:keepNext/>
      <w:keepLines/>
      <w:widowControl w:val="0"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ind w:left="2160"/>
      <w:outlineLvl w:val="2"/>
    </w:pPr>
  </w:style>
  <w:style w:type="paragraph" w:styleId="Heading4">
    <w:name w:val="heading 4"/>
    <w:basedOn w:val="Normal"/>
    <w:next w:val="Normal"/>
    <w:pPr>
      <w:keepNext/>
      <w:keepLines/>
      <w:widowControl w:val="0"/>
      <w:ind w:left="2880"/>
      <w:outlineLvl w:val="3"/>
    </w:pPr>
  </w:style>
  <w:style w:type="paragraph" w:styleId="Heading5">
    <w:name w:val="heading 5"/>
    <w:basedOn w:val="Normal"/>
    <w:next w:val="Normal"/>
    <w:pPr>
      <w:keepNext/>
      <w:keepLines/>
      <w:widowControl w:val="0"/>
      <w:ind w:left="3600"/>
      <w:outlineLvl w:val="4"/>
    </w:pPr>
    <w:rPr>
      <w:rFonts w:ascii="Overlock" w:eastAsia="Overlock" w:hAnsi="Overlock" w:cs="Overlock"/>
    </w:rPr>
  </w:style>
  <w:style w:type="paragraph" w:styleId="Heading6">
    <w:name w:val="heading 6"/>
    <w:basedOn w:val="Normal"/>
    <w:next w:val="Normal"/>
    <w:pPr>
      <w:keepNext/>
      <w:keepLines/>
      <w:widowControl w:val="0"/>
      <w:ind w:left="4320"/>
      <w:jc w:val="center"/>
      <w:outlineLvl w:val="5"/>
    </w:pPr>
    <w:rPr>
      <w:rFonts w:ascii="Overlock" w:eastAsia="Overlock" w:hAnsi="Overlock" w:cs="Overlock"/>
      <w:b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</w:rPr>
  </w:style>
  <w:style w:type="paragraph" w:styleId="Subtitle">
    <w:name w:val="Subtitle"/>
    <w:basedOn w:val="Normal"/>
    <w:next w:val="Normal"/>
    <w:pPr>
      <w:keepNext/>
      <w:keepLines/>
      <w:jc w:val="center"/>
    </w:pPr>
    <w:rPr>
      <w:rFonts w:ascii="Arial" w:eastAsia="Arial" w:hAnsi="Arial" w:cs="Arial"/>
      <w:b/>
      <w:i/>
      <w:color w:val="666666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A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Cross, Veronica</dc:creator>
  <cp:lastModifiedBy>Cross, Veronica</cp:lastModifiedBy>
  <cp:revision>2</cp:revision>
  <dcterms:created xsi:type="dcterms:W3CDTF">2018-05-30T19:35:00Z</dcterms:created>
  <dcterms:modified xsi:type="dcterms:W3CDTF">2018-05-30T19:35:00Z</dcterms:modified>
</cp:coreProperties>
</file>